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8CA1F" w14:textId="43CBC3B7" w:rsidR="00A626DA" w:rsidRPr="00883885" w:rsidRDefault="001606E1" w:rsidP="001606E1">
      <w:pPr>
        <w:jc w:val="center"/>
        <w:rPr>
          <w:rFonts w:cs="Arial"/>
          <w:b/>
          <w:sz w:val="10"/>
        </w:rPr>
      </w:pPr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2AC50F9" wp14:editId="1C4B1C77">
            <wp:simplePos x="0" y="0"/>
            <wp:positionH relativeFrom="margin">
              <wp:posOffset>3409950</wp:posOffset>
            </wp:positionH>
            <wp:positionV relativeFrom="paragraph">
              <wp:posOffset>0</wp:posOffset>
            </wp:positionV>
            <wp:extent cx="2819400" cy="1168400"/>
            <wp:effectExtent l="0" t="0" r="0" b="0"/>
            <wp:wrapTopAndBottom/>
            <wp:docPr id="727579698" name="Image 1" descr="Une image contenant Police, logo, text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Police, logo, text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04"/>
      </w:tblGrid>
      <w:tr w:rsidR="00A626DA" w:rsidRPr="00883885" w14:paraId="5FB3A10B" w14:textId="77777777" w:rsidTr="005779FA">
        <w:trPr>
          <w:trHeight w:val="5153"/>
        </w:trPr>
        <w:tc>
          <w:tcPr>
            <w:tcW w:w="15304" w:type="dxa"/>
            <w:vAlign w:val="center"/>
          </w:tcPr>
          <w:p w14:paraId="099288D0" w14:textId="2425467D" w:rsidR="00A626DA" w:rsidRPr="00883885" w:rsidRDefault="00093C52" w:rsidP="005779FA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BORDEREAU</w:t>
            </w:r>
            <w:r w:rsidR="005779FA">
              <w:rPr>
                <w:b/>
                <w:sz w:val="52"/>
              </w:rPr>
              <w:t xml:space="preserve"> DES DELAIS</w:t>
            </w:r>
          </w:p>
          <w:p w14:paraId="55974DC8" w14:textId="1933C612" w:rsidR="00A626DA" w:rsidRPr="00883885" w:rsidRDefault="00764F08" w:rsidP="006E14F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25M18</w:t>
            </w:r>
          </w:p>
          <w:p w14:paraId="3044EFE3" w14:textId="0BF4CA29" w:rsidR="00A626DA" w:rsidRPr="005A2AE5" w:rsidRDefault="00BA5C5D" w:rsidP="00BA5C5D">
            <w:pPr>
              <w:jc w:val="center"/>
              <w:rPr>
                <w:rFonts w:cstheme="minorHAnsi"/>
                <w:b/>
                <w:caps/>
                <w:sz w:val="48"/>
                <w:szCs w:val="48"/>
              </w:rPr>
            </w:pPr>
            <w:bookmarkStart w:id="0" w:name="_Hlk77671305"/>
            <w:r w:rsidRPr="00BA5C5D">
              <w:rPr>
                <w:rFonts w:cstheme="minorHAnsi"/>
                <w:b/>
                <w:caps/>
                <w:sz w:val="48"/>
                <w:szCs w:val="48"/>
              </w:rPr>
              <w:t xml:space="preserve">Impression, conditionnement et livraison à la demande de livres édités par l’Institut d’Etudes Judiciaires </w:t>
            </w:r>
            <w:r w:rsidR="00407F95">
              <w:rPr>
                <w:rFonts w:cstheme="minorHAnsi"/>
                <w:b/>
                <w:caps/>
                <w:sz w:val="48"/>
                <w:szCs w:val="48"/>
              </w:rPr>
              <w:t>DE LA SORBONNE</w:t>
            </w:r>
            <w:r w:rsidRPr="00BA5C5D">
              <w:rPr>
                <w:rFonts w:cstheme="minorHAnsi"/>
                <w:b/>
                <w:caps/>
                <w:sz w:val="48"/>
                <w:szCs w:val="48"/>
              </w:rPr>
              <w:t xml:space="preserve"> (IEJ) pour le compte de l’Université Paris 1 Panthéon Sorbonne</w:t>
            </w:r>
            <w:bookmarkEnd w:id="0"/>
          </w:p>
        </w:tc>
      </w:tr>
    </w:tbl>
    <w:p w14:paraId="09360B13" w14:textId="548EE664" w:rsidR="00A626DA" w:rsidRDefault="00A626DA" w:rsidP="00A626DA">
      <w:pPr>
        <w:rPr>
          <w:b/>
        </w:rPr>
      </w:pPr>
    </w:p>
    <w:p w14:paraId="0BA01EEF" w14:textId="2BF67403" w:rsidR="00C55ECF" w:rsidRPr="00C55ECF" w:rsidRDefault="00C55ECF" w:rsidP="00C55ECF">
      <w:pPr>
        <w:rPr>
          <w:b/>
        </w:rPr>
      </w:pPr>
      <w:r w:rsidRPr="00C55ECF">
        <w:rPr>
          <w:b/>
        </w:rPr>
        <w:t xml:space="preserve">Le présent </w:t>
      </w:r>
      <w:r w:rsidR="00812607">
        <w:rPr>
          <w:b/>
        </w:rPr>
        <w:t>bordereau</w:t>
      </w:r>
      <w:r>
        <w:rPr>
          <w:b/>
        </w:rPr>
        <w:t xml:space="preserve"> </w:t>
      </w:r>
      <w:r w:rsidRPr="00C55ECF">
        <w:rPr>
          <w:b/>
        </w:rPr>
        <w:t xml:space="preserve">des délais doit être entièrement renseigné. Il a valeur contractuelle et engage </w:t>
      </w:r>
      <w:r w:rsidR="003242BA">
        <w:rPr>
          <w:b/>
        </w:rPr>
        <w:t>le prestataire</w:t>
      </w:r>
      <w:r w:rsidR="00B30569">
        <w:rPr>
          <w:b/>
        </w:rPr>
        <w:t>.</w:t>
      </w:r>
      <w:r w:rsidR="00AB2D02">
        <w:rPr>
          <w:b/>
        </w:rPr>
        <w:t xml:space="preserve"> </w:t>
      </w:r>
    </w:p>
    <w:p w14:paraId="4703A420" w14:textId="58B47BCA" w:rsidR="00E9659F" w:rsidRPr="00E9659F" w:rsidRDefault="00E9659F" w:rsidP="00E9659F">
      <w:pPr>
        <w:rPr>
          <w:b/>
        </w:rPr>
      </w:pPr>
      <w:r w:rsidRPr="00E9659F">
        <w:rPr>
          <w:b/>
        </w:rPr>
        <w:t>Le</w:t>
      </w:r>
      <w:r w:rsidR="007962FD">
        <w:rPr>
          <w:b/>
        </w:rPr>
        <w:t>s</w:t>
      </w:r>
      <w:r w:rsidRPr="00E9659F">
        <w:rPr>
          <w:b/>
        </w:rPr>
        <w:t xml:space="preserve"> délai</w:t>
      </w:r>
      <w:r w:rsidR="007962FD">
        <w:rPr>
          <w:b/>
        </w:rPr>
        <w:t>s</w:t>
      </w:r>
      <w:r w:rsidRPr="00E9659F">
        <w:rPr>
          <w:b/>
        </w:rPr>
        <w:t xml:space="preserve"> proposé</w:t>
      </w:r>
      <w:r w:rsidR="007962FD">
        <w:rPr>
          <w:b/>
        </w:rPr>
        <w:t>s</w:t>
      </w:r>
      <w:r w:rsidRPr="00E9659F">
        <w:rPr>
          <w:b/>
        </w:rPr>
        <w:t xml:space="preserve"> par le candidat doi</w:t>
      </w:r>
      <w:r w:rsidR="007962FD">
        <w:rPr>
          <w:b/>
        </w:rPr>
        <w:t>ven</w:t>
      </w:r>
      <w:r w:rsidRPr="00E9659F">
        <w:rPr>
          <w:b/>
        </w:rPr>
        <w:t>t être inférieur</w:t>
      </w:r>
      <w:r w:rsidR="007962FD">
        <w:rPr>
          <w:b/>
        </w:rPr>
        <w:t>s</w:t>
      </w:r>
      <w:r w:rsidRPr="00E9659F">
        <w:rPr>
          <w:b/>
        </w:rPr>
        <w:t xml:space="preserve"> ou éga</w:t>
      </w:r>
      <w:r w:rsidR="007962FD">
        <w:rPr>
          <w:b/>
        </w:rPr>
        <w:t>ux</w:t>
      </w:r>
      <w:r w:rsidRPr="00E9659F">
        <w:rPr>
          <w:b/>
        </w:rPr>
        <w:t xml:space="preserve"> au</w:t>
      </w:r>
      <w:r w:rsidR="007962FD">
        <w:rPr>
          <w:b/>
        </w:rPr>
        <w:t>x</w:t>
      </w:r>
      <w:r w:rsidRPr="00E9659F">
        <w:rPr>
          <w:b/>
        </w:rPr>
        <w:t xml:space="preserve"> délai</w:t>
      </w:r>
      <w:r w:rsidR="007962FD">
        <w:rPr>
          <w:b/>
        </w:rPr>
        <w:t>s</w:t>
      </w:r>
      <w:r w:rsidRPr="00E9659F">
        <w:rPr>
          <w:b/>
        </w:rPr>
        <w:t xml:space="preserve"> maximum</w:t>
      </w:r>
      <w:r w:rsidR="007962FD">
        <w:rPr>
          <w:b/>
        </w:rPr>
        <w:t>s</w:t>
      </w:r>
      <w:r w:rsidRPr="00E9659F">
        <w:rPr>
          <w:b/>
        </w:rPr>
        <w:t xml:space="preserve"> imposé</w:t>
      </w:r>
      <w:r w:rsidR="007962FD">
        <w:rPr>
          <w:b/>
        </w:rPr>
        <w:t>s</w:t>
      </w:r>
      <w:r w:rsidRPr="00E9659F">
        <w:rPr>
          <w:b/>
        </w:rPr>
        <w:t xml:space="preserve"> ci-dessous par l’</w:t>
      </w:r>
      <w:r w:rsidR="00837C9F">
        <w:rPr>
          <w:b/>
        </w:rPr>
        <w:t>u</w:t>
      </w:r>
      <w:r w:rsidRPr="00E9659F">
        <w:rPr>
          <w:b/>
        </w:rPr>
        <w:t>niversité sous peine d’irrégularité de l’offre conformément à l’article R.2152-1 du code de la commande publique.</w:t>
      </w:r>
    </w:p>
    <w:p w14:paraId="71BC40BB" w14:textId="78CD3023" w:rsidR="00E9659F" w:rsidRPr="00E9659F" w:rsidRDefault="00E9659F" w:rsidP="00E9659F">
      <w:pPr>
        <w:rPr>
          <w:b/>
        </w:rPr>
      </w:pPr>
      <w:r w:rsidRPr="00E9659F">
        <w:rPr>
          <w:b/>
        </w:rPr>
        <w:t>Le candidat qui n’indiquerait pas de délai ou qui n'aurait pas remis le présent bordereau serait alors considéré comme proposant le</w:t>
      </w:r>
      <w:r w:rsidR="00BE1A79">
        <w:rPr>
          <w:b/>
        </w:rPr>
        <w:t>s</w:t>
      </w:r>
      <w:r w:rsidRPr="00E9659F">
        <w:rPr>
          <w:b/>
        </w:rPr>
        <w:t xml:space="preserve"> délai</w:t>
      </w:r>
      <w:r w:rsidR="00BE1A79">
        <w:rPr>
          <w:b/>
        </w:rPr>
        <w:t>s</w:t>
      </w:r>
      <w:r w:rsidRPr="00E9659F">
        <w:rPr>
          <w:b/>
        </w:rPr>
        <w:t xml:space="preserve"> maximum</w:t>
      </w:r>
      <w:r w:rsidR="00BE1A79">
        <w:rPr>
          <w:b/>
        </w:rPr>
        <w:t>s</w:t>
      </w:r>
      <w:r w:rsidRPr="00E9659F">
        <w:rPr>
          <w:b/>
        </w:rPr>
        <w:t xml:space="preserve"> fixé</w:t>
      </w:r>
      <w:r w:rsidR="00BE1A79">
        <w:rPr>
          <w:b/>
        </w:rPr>
        <w:t>s</w:t>
      </w:r>
      <w:r w:rsidRPr="00E9659F">
        <w:rPr>
          <w:b/>
        </w:rPr>
        <w:t xml:space="preserve"> par l’</w:t>
      </w:r>
      <w:r w:rsidR="00837C9F">
        <w:rPr>
          <w:b/>
        </w:rPr>
        <w:t>u</w:t>
      </w:r>
      <w:r w:rsidRPr="00E9659F">
        <w:rPr>
          <w:b/>
        </w:rPr>
        <w:t>niversité, et il obtiendrait alors la note de 0 dans le cadre de l’analyse du critère correspondant sans pour autant que son offre ne soit déclarée irrégulière.</w:t>
      </w:r>
    </w:p>
    <w:p w14:paraId="15378603" w14:textId="685D395E" w:rsidR="00C7539E" w:rsidRPr="00C7539E" w:rsidRDefault="00C7539E" w:rsidP="006D2CCD">
      <w:pPr>
        <w:keepNext/>
        <w:rPr>
          <w:b/>
          <w:u w:val="single"/>
        </w:rPr>
      </w:pPr>
      <w:r w:rsidRPr="00C7539E">
        <w:rPr>
          <w:b/>
          <w:u w:val="single"/>
        </w:rPr>
        <w:lastRenderedPageBreak/>
        <w:t>Délais d’exécution et de livraisons des livres</w:t>
      </w:r>
    </w:p>
    <w:tbl>
      <w:tblPr>
        <w:tblW w:w="1490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1"/>
        <w:gridCol w:w="4394"/>
        <w:gridCol w:w="3544"/>
        <w:gridCol w:w="3544"/>
      </w:tblGrid>
      <w:tr w:rsidR="00F1769F" w:rsidRPr="00BB3BB6" w14:paraId="63EDD092" w14:textId="4E4CEC0A" w:rsidTr="00884172">
        <w:trPr>
          <w:trHeight w:val="699"/>
          <w:tblHeader/>
          <w:jc w:val="center"/>
        </w:trPr>
        <w:tc>
          <w:tcPr>
            <w:tcW w:w="7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E5E1AD5" w14:textId="77777777" w:rsidR="00F1769F" w:rsidRPr="00BB3BB6" w:rsidRDefault="00F1769F" w:rsidP="00BB3BB6">
            <w:pPr>
              <w:rPr>
                <w:b/>
              </w:rPr>
            </w:pPr>
            <w:r w:rsidRPr="00BB3BB6">
              <w:rPr>
                <w:b/>
              </w:rPr>
              <w:t>Étapes</w:t>
            </w:r>
            <w:r w:rsidRPr="00BB3BB6">
              <w:rPr>
                <w:b/>
              </w:rPr>
              <w:br/>
              <w:t>(par ordre chronologique)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B3824EF" w14:textId="42E44856" w:rsidR="00F1769F" w:rsidRPr="00BB3BB6" w:rsidRDefault="00F1769F" w:rsidP="000B2907">
            <w:pPr>
              <w:jc w:val="both"/>
              <w:rPr>
                <w:b/>
              </w:rPr>
            </w:pPr>
            <w:r w:rsidRPr="00BB3BB6">
              <w:rPr>
                <w:b/>
              </w:rPr>
              <w:t>Délais</w:t>
            </w:r>
            <w:r>
              <w:rPr>
                <w:b/>
              </w:rPr>
              <w:t xml:space="preserve"> plafonds imposés par l’université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8081BD6" w14:textId="6C7ED70C" w:rsidR="00F1769F" w:rsidRPr="00BB3BB6" w:rsidRDefault="00F1769F" w:rsidP="000B2907">
            <w:pPr>
              <w:jc w:val="both"/>
              <w:rPr>
                <w:b/>
              </w:rPr>
            </w:pPr>
            <w:r>
              <w:rPr>
                <w:b/>
              </w:rPr>
              <w:t>Délai éventuellement proposé obligatoirement inférieur au délai plafond</w:t>
            </w:r>
          </w:p>
        </w:tc>
      </w:tr>
      <w:tr w:rsidR="00F1769F" w:rsidRPr="00BB3BB6" w14:paraId="5EC075C3" w14:textId="7630B011" w:rsidTr="00884172">
        <w:trPr>
          <w:trHeight w:val="315"/>
          <w:jc w:val="center"/>
        </w:trPr>
        <w:tc>
          <w:tcPr>
            <w:tcW w:w="7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0A9E" w14:textId="77777777" w:rsidR="00F1769F" w:rsidRDefault="00F1769F" w:rsidP="00BB3BB6">
            <w:pPr>
              <w:rPr>
                <w:b/>
              </w:rPr>
            </w:pPr>
            <w:r w:rsidRPr="00BB3BB6">
              <w:rPr>
                <w:b/>
              </w:rPr>
              <w:t xml:space="preserve">Prestation 1 : </w:t>
            </w:r>
            <w:r>
              <w:rPr>
                <w:b/>
              </w:rPr>
              <w:t>création d’une nouvelle référence de livre</w:t>
            </w:r>
          </w:p>
          <w:p w14:paraId="356752AC" w14:textId="538AEF5A" w:rsidR="00F1769F" w:rsidRPr="00BB3BB6" w:rsidRDefault="00F1769F" w:rsidP="00BB3BB6">
            <w:pPr>
              <w:rPr>
                <w:b/>
              </w:rPr>
            </w:pPr>
            <w:r>
              <w:rPr>
                <w:b/>
              </w:rPr>
              <w:t>V</w:t>
            </w:r>
            <w:r w:rsidRPr="00BB3BB6">
              <w:rPr>
                <w:b/>
              </w:rPr>
              <w:t>érification des informations et fichiers .</w:t>
            </w:r>
            <w:proofErr w:type="spellStart"/>
            <w:r w:rsidRPr="00BB3BB6">
              <w:rPr>
                <w:b/>
              </w:rPr>
              <w:t>pdf</w:t>
            </w:r>
            <w:proofErr w:type="spellEnd"/>
            <w:r w:rsidRPr="00BB3BB6">
              <w:rPr>
                <w:b/>
              </w:rPr>
              <w:t xml:space="preserve"> transmis par l’</w:t>
            </w:r>
            <w:r>
              <w:rPr>
                <w:b/>
              </w:rPr>
              <w:t>u</w:t>
            </w:r>
            <w:r w:rsidRPr="00BB3BB6">
              <w:rPr>
                <w:b/>
              </w:rPr>
              <w:t xml:space="preserve">niversité </w:t>
            </w:r>
            <w:r w:rsidRPr="00BB3BB6">
              <w:rPr>
                <w:b/>
                <w:u w:val="single"/>
              </w:rPr>
              <w:t>ou</w:t>
            </w:r>
            <w:r w:rsidRPr="00BB3BB6">
              <w:rPr>
                <w:b/>
              </w:rPr>
              <w:t xml:space="preserve"> communication à l’</w:t>
            </w:r>
            <w:r>
              <w:rPr>
                <w:b/>
              </w:rPr>
              <w:t>u</w:t>
            </w:r>
            <w:r w:rsidRPr="00BB3BB6">
              <w:rPr>
                <w:b/>
              </w:rPr>
              <w:t xml:space="preserve">niversité d’épreuves sur écran. </w:t>
            </w:r>
          </w:p>
          <w:p w14:paraId="57DB5DF6" w14:textId="5A4F63CD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(Délai maximum par tranches de 15 nouvelles références, à compter de la communication des informations et fichiers .</w:t>
            </w:r>
            <w:proofErr w:type="spellStart"/>
            <w:r w:rsidRPr="00BB3BB6">
              <w:rPr>
                <w:i/>
              </w:rPr>
              <w:t>pdf</w:t>
            </w:r>
            <w:proofErr w:type="spellEnd"/>
            <w:r w:rsidRPr="00BB3BB6">
              <w:rPr>
                <w:i/>
              </w:rPr>
              <w:t xml:space="preserve"> par l’</w:t>
            </w:r>
            <w:r>
              <w:rPr>
                <w:i/>
              </w:rPr>
              <w:t>u</w:t>
            </w:r>
            <w:r w:rsidRPr="00BB3BB6">
              <w:rPr>
                <w:i/>
              </w:rPr>
              <w:t>niversité</w:t>
            </w:r>
            <w:r>
              <w:rPr>
                <w:i/>
              </w:rPr>
              <w:t xml:space="preserve"> ; </w:t>
            </w:r>
            <w:r w:rsidRPr="006C4373">
              <w:rPr>
                <w:i/>
              </w:rPr>
              <w:t>au-delà de 15 références, le délai ci-contre s’additionne par tranche de 15 références supplémentaires</w:t>
            </w:r>
            <w:r w:rsidRPr="00BB3BB6">
              <w:rPr>
                <w:i/>
              </w:rPr>
              <w:t>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792A" w14:textId="7C31A973" w:rsidR="00F1769F" w:rsidRPr="00BB3BB6" w:rsidRDefault="00F1769F" w:rsidP="00BB3BB6">
            <w:r w:rsidRPr="00BB3BB6">
              <w:t>(</w:t>
            </w:r>
            <w:r>
              <w:t>5</w:t>
            </w:r>
            <w:r w:rsidRPr="00BB3BB6">
              <w:t xml:space="preserve"> jours ouvrés maximum)</w:t>
            </w:r>
          </w:p>
          <w:p w14:paraId="2E250F15" w14:textId="425586AF" w:rsidR="00F1769F" w:rsidRPr="00BB3BB6" w:rsidRDefault="00F1769F" w:rsidP="00BB3BB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71BD" w14:textId="77777777" w:rsidR="00F1769F" w:rsidRPr="00BB3BB6" w:rsidRDefault="00F1769F" w:rsidP="00BB3BB6"/>
        </w:tc>
      </w:tr>
      <w:tr w:rsidR="00F1769F" w:rsidRPr="00BB3BB6" w14:paraId="58250EE7" w14:textId="719B5E97" w:rsidTr="00884172">
        <w:trPr>
          <w:trHeight w:val="315"/>
          <w:jc w:val="center"/>
        </w:trPr>
        <w:tc>
          <w:tcPr>
            <w:tcW w:w="7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F957" w14:textId="77777777" w:rsidR="00F1769F" w:rsidRDefault="00F1769F" w:rsidP="00101F69">
            <w:pPr>
              <w:keepNext/>
              <w:rPr>
                <w:b/>
              </w:rPr>
            </w:pPr>
            <w:r w:rsidRPr="00BB3BB6">
              <w:rPr>
                <w:b/>
              </w:rPr>
              <w:t>Prestation 1 :</w:t>
            </w:r>
            <w:r>
              <w:rPr>
                <w:b/>
              </w:rPr>
              <w:t xml:space="preserve"> Création d’une nouvelle référence de livre</w:t>
            </w:r>
          </w:p>
          <w:p w14:paraId="1872B194" w14:textId="5E73DB90" w:rsidR="00F1769F" w:rsidRPr="00BB3BB6" w:rsidRDefault="00F1769F" w:rsidP="00101F69">
            <w:pPr>
              <w:keepNext/>
              <w:rPr>
                <w:b/>
              </w:rPr>
            </w:pPr>
            <w:r>
              <w:rPr>
                <w:b/>
              </w:rPr>
              <w:t>E</w:t>
            </w:r>
            <w:r w:rsidRPr="00BB3BB6">
              <w:rPr>
                <w:b/>
              </w:rPr>
              <w:t>n cas de correction des fichiers .</w:t>
            </w:r>
            <w:proofErr w:type="spellStart"/>
            <w:r w:rsidRPr="00BB3BB6">
              <w:rPr>
                <w:b/>
              </w:rPr>
              <w:t>pdf</w:t>
            </w:r>
            <w:proofErr w:type="spellEnd"/>
            <w:r w:rsidRPr="00BB3BB6">
              <w:rPr>
                <w:b/>
              </w:rPr>
              <w:t xml:space="preserve"> par l’</w:t>
            </w:r>
            <w:r>
              <w:rPr>
                <w:b/>
              </w:rPr>
              <w:t>u</w:t>
            </w:r>
            <w:r w:rsidRPr="00BB3BB6">
              <w:rPr>
                <w:b/>
              </w:rPr>
              <w:t xml:space="preserve">niversité, nouvelle vérification des fichiers par le titulaire </w:t>
            </w:r>
            <w:r w:rsidRPr="00BB3BB6">
              <w:rPr>
                <w:b/>
                <w:u w:val="single"/>
              </w:rPr>
              <w:t>ou</w:t>
            </w:r>
            <w:r w:rsidRPr="00BB3BB6">
              <w:rPr>
                <w:b/>
              </w:rPr>
              <w:t xml:space="preserve"> communication à l’</w:t>
            </w:r>
            <w:r>
              <w:rPr>
                <w:b/>
              </w:rPr>
              <w:t>u</w:t>
            </w:r>
            <w:r w:rsidRPr="00BB3BB6">
              <w:rPr>
                <w:b/>
              </w:rPr>
              <w:t>niversité de nouvelles épreuves sur écran.</w:t>
            </w:r>
          </w:p>
          <w:p w14:paraId="03133849" w14:textId="2AF302CE" w:rsidR="00F1769F" w:rsidRPr="00BB3BB6" w:rsidRDefault="00F1769F" w:rsidP="00101F69">
            <w:pPr>
              <w:keepNext/>
              <w:rPr>
                <w:b/>
              </w:rPr>
            </w:pPr>
            <w:r w:rsidRPr="00BB3BB6">
              <w:rPr>
                <w:i/>
              </w:rPr>
              <w:t>(Délai à compter de la communication des informations et fichiers .</w:t>
            </w:r>
            <w:proofErr w:type="spellStart"/>
            <w:r w:rsidRPr="00BB3BB6">
              <w:rPr>
                <w:i/>
              </w:rPr>
              <w:t>pdf</w:t>
            </w:r>
            <w:proofErr w:type="spellEnd"/>
            <w:r w:rsidRPr="00BB3BB6">
              <w:rPr>
                <w:i/>
              </w:rPr>
              <w:t xml:space="preserve"> par l’</w:t>
            </w:r>
            <w:r>
              <w:rPr>
                <w:i/>
              </w:rPr>
              <w:t>u</w:t>
            </w:r>
            <w:r w:rsidRPr="00BB3BB6">
              <w:rPr>
                <w:i/>
              </w:rPr>
              <w:t>niversité.)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00DE" w14:textId="77777777" w:rsidR="00F1769F" w:rsidRPr="00BB3BB6" w:rsidRDefault="00F1769F" w:rsidP="00BB3BB6">
            <w:r w:rsidRPr="00BB3BB6">
              <w:t>(2 jours ouvrés maximum)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BAC4" w14:textId="77777777" w:rsidR="00F1769F" w:rsidRPr="00BB3BB6" w:rsidRDefault="00F1769F" w:rsidP="00BB3BB6"/>
        </w:tc>
      </w:tr>
      <w:tr w:rsidR="00F1769F" w:rsidRPr="00BB3BB6" w14:paraId="5DDBAF3F" w14:textId="7B1FBF66" w:rsidTr="00884172">
        <w:trPr>
          <w:trHeight w:val="1315"/>
          <w:jc w:val="center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4B9" w14:textId="77777777" w:rsidR="00F1769F" w:rsidRDefault="00F1769F" w:rsidP="00BB3BB6">
            <w:pPr>
              <w:rPr>
                <w:b/>
              </w:rPr>
            </w:pPr>
            <w:r w:rsidRPr="00BB3BB6">
              <w:rPr>
                <w:b/>
              </w:rPr>
              <w:t xml:space="preserve">Prestation 1 : </w:t>
            </w:r>
            <w:r>
              <w:rPr>
                <w:b/>
              </w:rPr>
              <w:t>Création d’une nouvelle référence de livre</w:t>
            </w:r>
          </w:p>
          <w:p w14:paraId="20B9A4FD" w14:textId="3E5802A1" w:rsidR="00F1769F" w:rsidRPr="00BB3BB6" w:rsidRDefault="00F1769F" w:rsidP="00BB3BB6">
            <w:pPr>
              <w:rPr>
                <w:b/>
              </w:rPr>
            </w:pPr>
            <w:r>
              <w:rPr>
                <w:rFonts w:cstheme="minorHAnsi"/>
                <w:b/>
              </w:rPr>
              <w:t>Délai nécessaire au</w:t>
            </w:r>
            <w:r w:rsidRPr="00E73E2A">
              <w:rPr>
                <w:rFonts w:cstheme="minorHAnsi"/>
                <w:b/>
              </w:rPr>
              <w:t xml:space="preserve"> titulaire </w:t>
            </w:r>
            <w:r>
              <w:rPr>
                <w:rFonts w:cstheme="minorHAnsi"/>
                <w:b/>
              </w:rPr>
              <w:t>pour</w:t>
            </w:r>
            <w:r w:rsidRPr="00E73E2A">
              <w:rPr>
                <w:rFonts w:cstheme="minorHAnsi"/>
                <w:b/>
              </w:rPr>
              <w:t xml:space="preserve"> finalis</w:t>
            </w:r>
            <w:r>
              <w:rPr>
                <w:rFonts w:cstheme="minorHAnsi"/>
                <w:b/>
              </w:rPr>
              <w:t>er</w:t>
            </w:r>
            <w:r w:rsidRPr="00E73E2A">
              <w:rPr>
                <w:rFonts w:cstheme="minorHAnsi"/>
                <w:b/>
              </w:rPr>
              <w:t xml:space="preserve"> la création de la nouvelle référence de livres et commence</w:t>
            </w:r>
            <w:r>
              <w:rPr>
                <w:rFonts w:cstheme="minorHAnsi"/>
                <w:b/>
              </w:rPr>
              <w:t>r</w:t>
            </w:r>
            <w:r w:rsidRPr="00E73E2A">
              <w:rPr>
                <w:rFonts w:cstheme="minorHAnsi"/>
                <w:b/>
              </w:rPr>
              <w:t xml:space="preserve"> à accepter la commande d’exemplaires</w:t>
            </w:r>
            <w:r w:rsidRPr="00BB3BB6" w:rsidDel="006565BA">
              <w:rPr>
                <w:b/>
              </w:rPr>
              <w:t xml:space="preserve"> </w:t>
            </w:r>
            <w:r>
              <w:rPr>
                <w:b/>
              </w:rPr>
              <w:t xml:space="preserve">(ce qui correspond à </w:t>
            </w:r>
            <w:proofErr w:type="gramStart"/>
            <w:r>
              <w:rPr>
                <w:b/>
              </w:rPr>
              <w:t>la  Prestation</w:t>
            </w:r>
            <w:proofErr w:type="gramEnd"/>
            <w:r>
              <w:rPr>
                <w:b/>
              </w:rPr>
              <w:t> 2)</w:t>
            </w:r>
            <w:r w:rsidRPr="00BB3BB6">
              <w:rPr>
                <w:b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3510" w14:textId="77777777" w:rsidR="00F1769F" w:rsidRPr="00BB3BB6" w:rsidRDefault="00F1769F" w:rsidP="00BB3BB6">
            <w:pPr>
              <w:rPr>
                <w:u w:val="single"/>
              </w:rPr>
            </w:pPr>
            <w:r w:rsidRPr="00BB3BB6">
              <w:rPr>
                <w:u w:val="single"/>
              </w:rPr>
              <w:t>Si le titulaire procède lui-même à la vérification des fichiers .</w:t>
            </w:r>
            <w:proofErr w:type="spellStart"/>
            <w:r w:rsidRPr="00BB3BB6">
              <w:rPr>
                <w:u w:val="single"/>
              </w:rPr>
              <w:t>pdf</w:t>
            </w:r>
            <w:proofErr w:type="spellEnd"/>
            <w:r w:rsidRPr="00BB3BB6">
              <w:rPr>
                <w:u w:val="single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AEAAAA" w:themeColor="background2" w:themeShade="BF" w:fill="auto"/>
            <w:vAlign w:val="center"/>
          </w:tcPr>
          <w:p w14:paraId="1C2F4E4D" w14:textId="77777777" w:rsidR="00F1769F" w:rsidRPr="00BB3BB6" w:rsidRDefault="00F1769F" w:rsidP="00BB3BB6">
            <w:r w:rsidRPr="00BB3BB6">
              <w:rPr>
                <w:b/>
              </w:rPr>
              <w:t>0 jour</w:t>
            </w:r>
            <w:r w:rsidRPr="00BB3BB6">
              <w:t xml:space="preserve"> (seuls les délais ci-dessus s’appliquent)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AEAAAA" w:themeColor="background2" w:themeShade="BF" w:fill="auto"/>
            <w:vAlign w:val="center"/>
          </w:tcPr>
          <w:p w14:paraId="0BFE9C87" w14:textId="77777777" w:rsidR="00F1769F" w:rsidRPr="00BB3BB6" w:rsidRDefault="00F1769F" w:rsidP="00BB3BB6">
            <w:pPr>
              <w:rPr>
                <w:b/>
              </w:rPr>
            </w:pPr>
          </w:p>
        </w:tc>
      </w:tr>
      <w:tr w:rsidR="00F1769F" w:rsidRPr="00BB3BB6" w14:paraId="5948E0C2" w14:textId="54CCC833" w:rsidTr="00884172">
        <w:trPr>
          <w:trHeight w:val="1314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E478" w14:textId="77777777" w:rsidR="00F1769F" w:rsidRPr="00BB3BB6" w:rsidRDefault="00F1769F" w:rsidP="00BB3BB6">
            <w:pPr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AE9B" w14:textId="14B67E82" w:rsidR="00F1769F" w:rsidRPr="00BB3BB6" w:rsidRDefault="00F1769F" w:rsidP="00BB3BB6">
            <w:pPr>
              <w:rPr>
                <w:u w:val="single"/>
              </w:rPr>
            </w:pPr>
            <w:r w:rsidRPr="00BB3BB6">
              <w:rPr>
                <w:u w:val="single"/>
              </w:rPr>
              <w:t>Si le titulaire communique à l’</w:t>
            </w:r>
            <w:r>
              <w:rPr>
                <w:u w:val="single"/>
              </w:rPr>
              <w:t>u</w:t>
            </w:r>
            <w:r w:rsidRPr="00BB3BB6">
              <w:rPr>
                <w:u w:val="single"/>
              </w:rPr>
              <w:t>niversité des épreuves sur écran.</w:t>
            </w:r>
          </w:p>
          <w:p w14:paraId="6A0A3012" w14:textId="2C7DBD12" w:rsidR="00F1769F" w:rsidRPr="00BB3BB6" w:rsidRDefault="00F1769F" w:rsidP="00BB3BB6">
            <w:pPr>
              <w:rPr>
                <w:b/>
                <w:i/>
              </w:rPr>
            </w:pPr>
            <w:r w:rsidRPr="00BB3BB6">
              <w:rPr>
                <w:i/>
              </w:rPr>
              <w:t>(Délai à compter de l’acceptation des épreuves sur écran par l’</w:t>
            </w:r>
            <w:r>
              <w:rPr>
                <w:i/>
              </w:rPr>
              <w:t>u</w:t>
            </w:r>
            <w:r w:rsidRPr="00BB3BB6">
              <w:rPr>
                <w:i/>
              </w:rPr>
              <w:t>niversité (bon à tirer).)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127C" w14:textId="77777777" w:rsidR="00F1769F" w:rsidRPr="00BB3BB6" w:rsidRDefault="00F1769F" w:rsidP="00BB3BB6">
            <w:r w:rsidRPr="00BB3BB6">
              <w:t>(1 jour ouvré maximum)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234B" w14:textId="77777777" w:rsidR="00F1769F" w:rsidRPr="00BB3BB6" w:rsidRDefault="00F1769F" w:rsidP="00BB3BB6"/>
        </w:tc>
      </w:tr>
      <w:tr w:rsidR="00F1769F" w:rsidRPr="00BB3BB6" w14:paraId="148323CA" w14:textId="08359320" w:rsidTr="00884172">
        <w:trPr>
          <w:trHeight w:val="1143"/>
          <w:jc w:val="center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57C7" w14:textId="088240D4" w:rsidR="00F1769F" w:rsidRPr="00BB3BB6" w:rsidRDefault="00F1769F" w:rsidP="00BB3BB6">
            <w:pPr>
              <w:rPr>
                <w:b/>
              </w:rPr>
            </w:pPr>
            <w:r w:rsidRPr="00BB3BB6">
              <w:rPr>
                <w:b/>
              </w:rPr>
              <w:lastRenderedPageBreak/>
              <w:t xml:space="preserve">Prestation 2 : impression, couverture, reliure, </w:t>
            </w:r>
            <w:r>
              <w:rPr>
                <w:b/>
              </w:rPr>
              <w:t>et éventuellement mise sous film plastique</w:t>
            </w:r>
            <w:r w:rsidRPr="00BB3BB6">
              <w:rPr>
                <w:b/>
              </w:rPr>
              <w:t xml:space="preserve"> (les exemplaires commandés peuvent être ceux d’une seule référence de livre ou de plusieurs références différentes).</w:t>
            </w:r>
          </w:p>
          <w:p w14:paraId="3BAB5D50" w14:textId="041F23AC" w:rsidR="00F1769F" w:rsidRPr="00BB3BB6" w:rsidRDefault="00F1769F" w:rsidP="00BB3BB6">
            <w:pPr>
              <w:rPr>
                <w:b/>
                <w:i/>
              </w:rPr>
            </w:pPr>
            <w:r w:rsidRPr="00BB3BB6">
              <w:rPr>
                <w:i/>
              </w:rPr>
              <w:t>(Délais à compter de la transmission du bon de commande par l’</w:t>
            </w:r>
            <w:r>
              <w:rPr>
                <w:i/>
              </w:rPr>
              <w:t>u</w:t>
            </w:r>
            <w:r w:rsidRPr="00BB3BB6">
              <w:rPr>
                <w:i/>
              </w:rPr>
              <w:t>niversité et jusqu’à la remise des colis au transporteur par le titulaire.)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8EBE" w14:textId="77777777" w:rsidR="00F1769F" w:rsidRPr="00BB3BB6" w:rsidRDefault="00F1769F" w:rsidP="00BB3BB6">
            <w:pPr>
              <w:rPr>
                <w:b/>
              </w:rPr>
            </w:pPr>
            <w:r w:rsidRPr="00BB3BB6">
              <w:rPr>
                <w:u w:val="single"/>
              </w:rPr>
              <w:t>Pour 1 à 10 exemplaires commandés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F034" w14:textId="77777777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(3 jours ouvrés maximum)</w:t>
            </w:r>
          </w:p>
          <w:p w14:paraId="595AEB48" w14:textId="77777777" w:rsidR="00F1769F" w:rsidRPr="00BB3BB6" w:rsidRDefault="00F1769F" w:rsidP="00BB3BB6">
            <w:pPr>
              <w:rPr>
                <w:i/>
              </w:rPr>
            </w:pPr>
          </w:p>
          <w:p w14:paraId="100114AE" w14:textId="77777777" w:rsidR="00F1769F" w:rsidRPr="00BB3BB6" w:rsidRDefault="00F1769F" w:rsidP="00BB3BB6">
            <w:pPr>
              <w:rPr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F551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02EB46FF" w14:textId="42A4A345" w:rsidTr="00884172">
        <w:trPr>
          <w:trHeight w:val="150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C84A" w14:textId="77777777" w:rsidR="00F1769F" w:rsidRPr="00BB3BB6" w:rsidRDefault="00F1769F" w:rsidP="00BB3BB6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726E" w14:textId="77777777" w:rsidR="00F1769F" w:rsidRPr="00BB3BB6" w:rsidRDefault="00F1769F" w:rsidP="00BB3BB6">
            <w:r w:rsidRPr="00BB3BB6">
              <w:rPr>
                <w:u w:val="single"/>
              </w:rPr>
              <w:t>Pour 11 à 100 exemplaires commandés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E4F6" w14:textId="77777777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(4 jours ouvrés maximum)</w:t>
            </w:r>
          </w:p>
          <w:p w14:paraId="7316ACFF" w14:textId="77777777" w:rsidR="00F1769F" w:rsidRPr="00BB3BB6" w:rsidRDefault="00F1769F" w:rsidP="00BB3BB6">
            <w:pPr>
              <w:rPr>
                <w:i/>
              </w:rPr>
            </w:pPr>
          </w:p>
          <w:p w14:paraId="47F7A7C0" w14:textId="77777777" w:rsidR="00F1769F" w:rsidRPr="00BB3BB6" w:rsidRDefault="00F1769F" w:rsidP="00BB3BB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67E8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167B27D4" w14:textId="310C8322" w:rsidTr="00884172">
        <w:trPr>
          <w:trHeight w:val="150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ABD" w14:textId="77777777" w:rsidR="00F1769F" w:rsidRPr="00BB3BB6" w:rsidRDefault="00F1769F" w:rsidP="00BB3BB6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BDAF" w14:textId="77777777" w:rsidR="00F1769F" w:rsidRPr="00BB3BB6" w:rsidRDefault="00F1769F" w:rsidP="00BB3BB6">
            <w:r w:rsidRPr="00BB3BB6">
              <w:rPr>
                <w:u w:val="single"/>
              </w:rPr>
              <w:t>Pour 101 à 500 exemplaires commandés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B5D2" w14:textId="77777777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(5 jours ouvrés maximum)</w:t>
            </w:r>
          </w:p>
          <w:p w14:paraId="39190B90" w14:textId="77777777" w:rsidR="00F1769F" w:rsidRPr="00BB3BB6" w:rsidRDefault="00F1769F" w:rsidP="00BB3BB6">
            <w:pPr>
              <w:rPr>
                <w:i/>
              </w:rPr>
            </w:pPr>
          </w:p>
          <w:p w14:paraId="10DD57BA" w14:textId="77777777" w:rsidR="00F1769F" w:rsidRPr="00BB3BB6" w:rsidRDefault="00F1769F" w:rsidP="00BB3BB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7B1B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07C5FA9A" w14:textId="55014B70" w:rsidTr="00884172">
        <w:trPr>
          <w:trHeight w:val="1000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BEC5" w14:textId="77777777" w:rsidR="00F1769F" w:rsidRPr="00BB3BB6" w:rsidRDefault="00F1769F" w:rsidP="00BB3BB6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3B5F" w14:textId="77777777" w:rsidR="00F1769F" w:rsidRPr="00BB3BB6" w:rsidRDefault="00F1769F" w:rsidP="00BB3BB6">
            <w:r w:rsidRPr="00BB3BB6">
              <w:rPr>
                <w:u w:val="single"/>
              </w:rPr>
              <w:t>Pour 501 à 1 000 exemplaires commandés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8101" w14:textId="0EF1EE87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</w:t>
            </w:r>
            <w:r>
              <w:rPr>
                <w:i/>
              </w:rPr>
              <w:t>7</w:t>
            </w:r>
            <w:r w:rsidRPr="00BB3BB6">
              <w:rPr>
                <w:i/>
              </w:rPr>
              <w:t xml:space="preserve"> jours ouvrés maximum)</w:t>
            </w:r>
          </w:p>
          <w:p w14:paraId="4BC5E6DE" w14:textId="77777777" w:rsidR="00F1769F" w:rsidRPr="00BB3BB6" w:rsidRDefault="00F1769F" w:rsidP="00BB3BB6">
            <w:pPr>
              <w:rPr>
                <w:i/>
              </w:rPr>
            </w:pPr>
          </w:p>
          <w:p w14:paraId="0236B4E2" w14:textId="77777777" w:rsidR="00F1769F" w:rsidRPr="00BB3BB6" w:rsidRDefault="00F1769F" w:rsidP="00BB3BB6">
            <w:pPr>
              <w:rPr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DD55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3E29638C" w14:textId="60898FE2" w:rsidTr="00884172">
        <w:trPr>
          <w:trHeight w:val="70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97C6" w14:textId="77777777" w:rsidR="00F1769F" w:rsidRPr="00BB3BB6" w:rsidRDefault="00F1769F" w:rsidP="00BB3BB6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6FC0" w14:textId="415E5FCC" w:rsidR="00F1769F" w:rsidRPr="00BB3BB6" w:rsidRDefault="00F1769F" w:rsidP="00BB3BB6">
            <w:r>
              <w:rPr>
                <w:u w:val="single"/>
              </w:rPr>
              <w:t>Par tranche supplémentaire de 500 exemplaires commandés au-delà de 1000 exemplaires commandés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BE44" w14:textId="402D1353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 xml:space="preserve">(Maximum </w:t>
            </w:r>
            <w:r>
              <w:rPr>
                <w:i/>
              </w:rPr>
              <w:t>3</w:t>
            </w:r>
            <w:r w:rsidRPr="00BB3BB6">
              <w:rPr>
                <w:i/>
              </w:rPr>
              <w:t xml:space="preserve"> jours ouvrés </w:t>
            </w:r>
            <w:r>
              <w:rPr>
                <w:i/>
              </w:rPr>
              <w:t>par tranche de 500 exemplaires commandés au-delà de 1000 exemplaires (s’ajoute au délai de la case précédente pour les 1000 premiers exemplaires de la commande))</w:t>
            </w:r>
          </w:p>
          <w:p w14:paraId="22D41B55" w14:textId="77777777" w:rsidR="00F1769F" w:rsidRPr="00BB3BB6" w:rsidRDefault="00F1769F" w:rsidP="00BB3BB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B941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1AD4FC38" w14:textId="4434B109" w:rsidTr="00884172">
        <w:trPr>
          <w:trHeight w:val="1125"/>
          <w:jc w:val="center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379F" w14:textId="4D137EA0" w:rsidR="00F1769F" w:rsidRDefault="00F1769F" w:rsidP="00BB3BB6">
            <w:pPr>
              <w:rPr>
                <w:b/>
              </w:rPr>
            </w:pPr>
            <w:r w:rsidRPr="00BB3BB6">
              <w:rPr>
                <w:b/>
              </w:rPr>
              <w:lastRenderedPageBreak/>
              <w:t>Prestation 3 :</w:t>
            </w:r>
            <w:r>
              <w:rPr>
                <w:b/>
              </w:rPr>
              <w:t xml:space="preserve"> Colisage, adressage, transport et livraison</w:t>
            </w:r>
          </w:p>
          <w:p w14:paraId="4C430B33" w14:textId="2263B7D9" w:rsidR="00F1769F" w:rsidRDefault="00F1769F" w:rsidP="00BB3BB6">
            <w:pPr>
              <w:rPr>
                <w:b/>
              </w:rPr>
            </w:pPr>
            <w:r>
              <w:rPr>
                <w:b/>
              </w:rPr>
              <w:t>T</w:t>
            </w:r>
            <w:r w:rsidRPr="00BB3BB6">
              <w:rPr>
                <w:b/>
              </w:rPr>
              <w:t>ransport et livraison du ou des colis au(x) destinataire(s). Délai que s’engage à respecter le transporteur choisi par le titulaire.</w:t>
            </w:r>
          </w:p>
          <w:p w14:paraId="4E7A7D8C" w14:textId="4311793F" w:rsidR="00F1769F" w:rsidRPr="00BB3BB6" w:rsidRDefault="00F1769F" w:rsidP="00BB3BB6">
            <w:pPr>
              <w:rPr>
                <w:b/>
              </w:rPr>
            </w:pPr>
            <w:r w:rsidRPr="00BB3BB6">
              <w:rPr>
                <w:i/>
              </w:rPr>
              <w:t>(Délai à compter de la remise du ou des colis au transporteur par le titulaire.)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4384" w14:textId="27F02FE8" w:rsidR="00F1769F" w:rsidRPr="00004818" w:rsidRDefault="00F1769F" w:rsidP="00BB3BB6">
            <w:pPr>
              <w:rPr>
                <w:iCs/>
                <w:u w:val="single"/>
              </w:rPr>
            </w:pPr>
            <w:r w:rsidRPr="00004818">
              <w:rPr>
                <w:iCs/>
                <w:u w:val="single"/>
              </w:rPr>
              <w:t>Pour les colis vers la France métropolitaine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E24F" w14:textId="358C8615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</w:t>
            </w:r>
            <w:r>
              <w:rPr>
                <w:i/>
              </w:rPr>
              <w:t>96h</w:t>
            </w:r>
            <w:r w:rsidRPr="00BB3BB6">
              <w:rPr>
                <w:i/>
              </w:rPr>
              <w:t xml:space="preserve"> maximum</w:t>
            </w:r>
            <w:r>
              <w:rPr>
                <w:i/>
              </w:rPr>
              <w:t xml:space="preserve"> hors jours non ouvrés</w:t>
            </w:r>
            <w:r w:rsidRPr="00BB3BB6">
              <w:rPr>
                <w:i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3EE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3D89150E" w14:textId="0FE5967E" w:rsidTr="00884172">
        <w:trPr>
          <w:trHeight w:val="1125"/>
          <w:jc w:val="center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8AEA7F" w14:textId="77777777" w:rsidR="00F1769F" w:rsidRPr="00BB3BB6" w:rsidRDefault="00F1769F" w:rsidP="00BB3BB6">
            <w:pPr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452D463" w14:textId="0F8AC1D4" w:rsidR="00F1769F" w:rsidRPr="00004818" w:rsidRDefault="00F1769F" w:rsidP="00BB3BB6">
            <w:pPr>
              <w:rPr>
                <w:iCs/>
                <w:u w:val="single"/>
              </w:rPr>
            </w:pPr>
            <w:r w:rsidRPr="00004818">
              <w:rPr>
                <w:iCs/>
                <w:u w:val="single"/>
              </w:rPr>
              <w:t xml:space="preserve">Pour les colis vers les </w:t>
            </w:r>
            <w:r w:rsidR="00273670" w:rsidRPr="00273670">
              <w:rPr>
                <w:iCs/>
                <w:u w:val="single"/>
              </w:rPr>
              <w:t>DROM-COM (anciennement DOM-TOM)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AADA65" w14:textId="421F7D2B" w:rsidR="00F1769F" w:rsidRPr="00BB3BB6" w:rsidRDefault="00F1769F" w:rsidP="00BB3BB6">
            <w:pPr>
              <w:rPr>
                <w:i/>
              </w:rPr>
            </w:pPr>
            <w:r w:rsidRPr="00BB3BB6">
              <w:rPr>
                <w:i/>
              </w:rPr>
              <w:t>(</w:t>
            </w:r>
            <w:r>
              <w:rPr>
                <w:i/>
              </w:rPr>
              <w:t>30 jours ouvrés maximum</w:t>
            </w:r>
            <w:r w:rsidRPr="00BB3BB6">
              <w:rPr>
                <w:i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B115F" w14:textId="77777777" w:rsidR="00F1769F" w:rsidRPr="00BB3BB6" w:rsidRDefault="00F1769F" w:rsidP="00BB3BB6">
            <w:pPr>
              <w:rPr>
                <w:i/>
              </w:rPr>
            </w:pPr>
          </w:p>
        </w:tc>
      </w:tr>
      <w:tr w:rsidR="00F1769F" w:rsidRPr="00BB3BB6" w14:paraId="74B48486" w14:textId="557DA6A7" w:rsidTr="00884172">
        <w:trPr>
          <w:trHeight w:val="949"/>
          <w:jc w:val="center"/>
        </w:trPr>
        <w:tc>
          <w:tcPr>
            <w:tcW w:w="7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EFDBB3" w14:textId="77777777" w:rsidR="00F1769F" w:rsidRDefault="00F1769F" w:rsidP="00BB3BB6">
            <w:pPr>
              <w:rPr>
                <w:b/>
              </w:rPr>
            </w:pPr>
            <w:r w:rsidRPr="00AF6E95">
              <w:rPr>
                <w:b/>
              </w:rPr>
              <w:t>Établissement d’une proposition technique et financière</w:t>
            </w:r>
          </w:p>
          <w:p w14:paraId="499262A3" w14:textId="223E8DD4" w:rsidR="00F1769F" w:rsidRPr="00004818" w:rsidRDefault="00F1769F" w:rsidP="00BB3BB6">
            <w:pPr>
              <w:rPr>
                <w:iCs/>
                <w:u w:val="single"/>
              </w:rPr>
            </w:pPr>
            <w:r w:rsidRPr="00E73E2A">
              <w:rPr>
                <w:rFonts w:cstheme="minorHAnsi"/>
              </w:rPr>
              <w:t>Afin de permettre l’édition d’un bon de commande par l’</w:t>
            </w:r>
            <w:r>
              <w:rPr>
                <w:rFonts w:cstheme="minorHAnsi"/>
              </w:rPr>
              <w:t>u</w:t>
            </w:r>
            <w:r w:rsidRPr="00E73E2A">
              <w:rPr>
                <w:rFonts w:cstheme="minorHAnsi"/>
              </w:rPr>
              <w:t>niversité, le titulaire s’engage à transmettre à l’</w:t>
            </w:r>
            <w:r>
              <w:rPr>
                <w:rFonts w:cstheme="minorHAnsi"/>
              </w:rPr>
              <w:t>u</w:t>
            </w:r>
            <w:r w:rsidRPr="00E73E2A">
              <w:rPr>
                <w:rFonts w:cstheme="minorHAnsi"/>
              </w:rPr>
              <w:t>niversité, sur simple demande, une proposition technique et financière conforme au marché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DEE2EE" w14:textId="212505B2" w:rsidR="00F1769F" w:rsidRPr="00BB3BB6" w:rsidRDefault="00F1769F" w:rsidP="00BB3BB6">
            <w:pPr>
              <w:rPr>
                <w:i/>
              </w:rPr>
            </w:pPr>
            <w:r>
              <w:rPr>
                <w:i/>
              </w:rPr>
              <w:t>(2 jours ouvrés maximum)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6F279D" w14:textId="77777777" w:rsidR="00F1769F" w:rsidRDefault="00F1769F" w:rsidP="00BB3BB6">
            <w:pPr>
              <w:rPr>
                <w:i/>
              </w:rPr>
            </w:pPr>
          </w:p>
        </w:tc>
      </w:tr>
    </w:tbl>
    <w:p w14:paraId="5C361791" w14:textId="092ABFF3" w:rsidR="00A626DA" w:rsidRDefault="00A626DA" w:rsidP="00527FE3"/>
    <w:sectPr w:rsidR="00A626DA" w:rsidSect="005D37F0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68095" w14:textId="77777777" w:rsidR="00EE73C9" w:rsidRDefault="00EE73C9" w:rsidP="005D37F0">
      <w:pPr>
        <w:spacing w:after="0" w:line="240" w:lineRule="auto"/>
      </w:pPr>
      <w:r>
        <w:separator/>
      </w:r>
    </w:p>
  </w:endnote>
  <w:endnote w:type="continuationSeparator" w:id="0">
    <w:p w14:paraId="38BE46DB" w14:textId="77777777" w:rsidR="00EE73C9" w:rsidRDefault="00EE73C9" w:rsidP="005D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7056650"/>
      <w:docPartObj>
        <w:docPartGallery w:val="Page Numbers (Bottom of Page)"/>
        <w:docPartUnique/>
      </w:docPartObj>
    </w:sdtPr>
    <w:sdtEndPr/>
    <w:sdtContent>
      <w:p w14:paraId="79460001" w14:textId="49B40CB7" w:rsidR="005D37F0" w:rsidRDefault="005D37F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AD5EA" w14:textId="77777777" w:rsidR="005D37F0" w:rsidRDefault="005D37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A1E63" w14:textId="77777777" w:rsidR="00EE73C9" w:rsidRDefault="00EE73C9" w:rsidP="005D37F0">
      <w:pPr>
        <w:spacing w:after="0" w:line="240" w:lineRule="auto"/>
      </w:pPr>
      <w:r>
        <w:separator/>
      </w:r>
    </w:p>
  </w:footnote>
  <w:footnote w:type="continuationSeparator" w:id="0">
    <w:p w14:paraId="3830EF83" w14:textId="77777777" w:rsidR="00EE73C9" w:rsidRDefault="00EE73C9" w:rsidP="005D3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423BF"/>
    <w:multiLevelType w:val="hybridMultilevel"/>
    <w:tmpl w:val="06D6BE6C"/>
    <w:lvl w:ilvl="0" w:tplc="7834EB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23521"/>
    <w:multiLevelType w:val="hybridMultilevel"/>
    <w:tmpl w:val="E2C89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367801">
    <w:abstractNumId w:val="1"/>
  </w:num>
  <w:num w:numId="2" w16cid:durableId="712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6DA"/>
    <w:rsid w:val="00004818"/>
    <w:rsid w:val="00005484"/>
    <w:rsid w:val="00015FCD"/>
    <w:rsid w:val="00044A60"/>
    <w:rsid w:val="00064212"/>
    <w:rsid w:val="000775D5"/>
    <w:rsid w:val="00081F01"/>
    <w:rsid w:val="00083C91"/>
    <w:rsid w:val="00085771"/>
    <w:rsid w:val="00093143"/>
    <w:rsid w:val="00093C52"/>
    <w:rsid w:val="000945B8"/>
    <w:rsid w:val="00097AAA"/>
    <w:rsid w:val="000A79C6"/>
    <w:rsid w:val="000B2907"/>
    <w:rsid w:val="000C0437"/>
    <w:rsid w:val="000C2795"/>
    <w:rsid w:val="000D70F2"/>
    <w:rsid w:val="000E51ED"/>
    <w:rsid w:val="00101F69"/>
    <w:rsid w:val="0010747B"/>
    <w:rsid w:val="001240F4"/>
    <w:rsid w:val="001306AD"/>
    <w:rsid w:val="001371C7"/>
    <w:rsid w:val="0014607B"/>
    <w:rsid w:val="00152327"/>
    <w:rsid w:val="001606E1"/>
    <w:rsid w:val="001717FF"/>
    <w:rsid w:val="0017670E"/>
    <w:rsid w:val="00183AFB"/>
    <w:rsid w:val="001A1C7E"/>
    <w:rsid w:val="001A363E"/>
    <w:rsid w:val="001A79D9"/>
    <w:rsid w:val="001D30A7"/>
    <w:rsid w:val="001E2975"/>
    <w:rsid w:val="001F3002"/>
    <w:rsid w:val="00205580"/>
    <w:rsid w:val="002114EF"/>
    <w:rsid w:val="00212F66"/>
    <w:rsid w:val="00220E3C"/>
    <w:rsid w:val="00233912"/>
    <w:rsid w:val="00243327"/>
    <w:rsid w:val="00246B21"/>
    <w:rsid w:val="00247DA8"/>
    <w:rsid w:val="002608DC"/>
    <w:rsid w:val="00273670"/>
    <w:rsid w:val="002765EA"/>
    <w:rsid w:val="002862C3"/>
    <w:rsid w:val="00292F6F"/>
    <w:rsid w:val="002A56EF"/>
    <w:rsid w:val="002A745A"/>
    <w:rsid w:val="002B055C"/>
    <w:rsid w:val="002F12D7"/>
    <w:rsid w:val="002F30CA"/>
    <w:rsid w:val="002F39FE"/>
    <w:rsid w:val="002F6951"/>
    <w:rsid w:val="003107C9"/>
    <w:rsid w:val="00315B37"/>
    <w:rsid w:val="003168CB"/>
    <w:rsid w:val="00320ED1"/>
    <w:rsid w:val="003216CF"/>
    <w:rsid w:val="003242BA"/>
    <w:rsid w:val="00324EAE"/>
    <w:rsid w:val="003405D7"/>
    <w:rsid w:val="00343EBF"/>
    <w:rsid w:val="00353E97"/>
    <w:rsid w:val="00354728"/>
    <w:rsid w:val="003555F8"/>
    <w:rsid w:val="003611A4"/>
    <w:rsid w:val="003640BF"/>
    <w:rsid w:val="003701D3"/>
    <w:rsid w:val="00371BF1"/>
    <w:rsid w:val="00371D10"/>
    <w:rsid w:val="00376743"/>
    <w:rsid w:val="00380DCC"/>
    <w:rsid w:val="003821D0"/>
    <w:rsid w:val="00384851"/>
    <w:rsid w:val="00393897"/>
    <w:rsid w:val="003A2B56"/>
    <w:rsid w:val="003A3B9D"/>
    <w:rsid w:val="003B2848"/>
    <w:rsid w:val="003B2F03"/>
    <w:rsid w:val="003B6F38"/>
    <w:rsid w:val="003D3ED9"/>
    <w:rsid w:val="003D4F08"/>
    <w:rsid w:val="003E4C78"/>
    <w:rsid w:val="003F4531"/>
    <w:rsid w:val="0040033B"/>
    <w:rsid w:val="00407F95"/>
    <w:rsid w:val="004123DD"/>
    <w:rsid w:val="00420FD4"/>
    <w:rsid w:val="00421252"/>
    <w:rsid w:val="00422596"/>
    <w:rsid w:val="00425A4A"/>
    <w:rsid w:val="004277F5"/>
    <w:rsid w:val="00437CB1"/>
    <w:rsid w:val="004441B6"/>
    <w:rsid w:val="00457662"/>
    <w:rsid w:val="00461D7F"/>
    <w:rsid w:val="004635DB"/>
    <w:rsid w:val="0047327C"/>
    <w:rsid w:val="00476B9F"/>
    <w:rsid w:val="004A3F4D"/>
    <w:rsid w:val="004A70BF"/>
    <w:rsid w:val="004B0280"/>
    <w:rsid w:val="004C3348"/>
    <w:rsid w:val="004C38F7"/>
    <w:rsid w:val="004C4168"/>
    <w:rsid w:val="004C61D1"/>
    <w:rsid w:val="004D6EDD"/>
    <w:rsid w:val="004F0EC2"/>
    <w:rsid w:val="004F2F0A"/>
    <w:rsid w:val="004F3528"/>
    <w:rsid w:val="004F437A"/>
    <w:rsid w:val="005007A7"/>
    <w:rsid w:val="00502A2E"/>
    <w:rsid w:val="0050634E"/>
    <w:rsid w:val="00506615"/>
    <w:rsid w:val="0052651E"/>
    <w:rsid w:val="00527FE3"/>
    <w:rsid w:val="00531509"/>
    <w:rsid w:val="0053377D"/>
    <w:rsid w:val="00542AAC"/>
    <w:rsid w:val="005444E0"/>
    <w:rsid w:val="0055022D"/>
    <w:rsid w:val="00551DB0"/>
    <w:rsid w:val="00555888"/>
    <w:rsid w:val="005677D0"/>
    <w:rsid w:val="005702B0"/>
    <w:rsid w:val="00572FF5"/>
    <w:rsid w:val="005779FA"/>
    <w:rsid w:val="00577B4C"/>
    <w:rsid w:val="0058658B"/>
    <w:rsid w:val="00596782"/>
    <w:rsid w:val="00597BAF"/>
    <w:rsid w:val="005A1C70"/>
    <w:rsid w:val="005A1C71"/>
    <w:rsid w:val="005A2AE5"/>
    <w:rsid w:val="005B40AE"/>
    <w:rsid w:val="005C358C"/>
    <w:rsid w:val="005D0524"/>
    <w:rsid w:val="005D37F0"/>
    <w:rsid w:val="005D5336"/>
    <w:rsid w:val="005F2F79"/>
    <w:rsid w:val="005F7BDB"/>
    <w:rsid w:val="00612E96"/>
    <w:rsid w:val="00616F1D"/>
    <w:rsid w:val="00620015"/>
    <w:rsid w:val="00624BCB"/>
    <w:rsid w:val="00624C4B"/>
    <w:rsid w:val="0062652C"/>
    <w:rsid w:val="00655EBD"/>
    <w:rsid w:val="0065615F"/>
    <w:rsid w:val="006565BA"/>
    <w:rsid w:val="006615A4"/>
    <w:rsid w:val="006639FA"/>
    <w:rsid w:val="00664C9D"/>
    <w:rsid w:val="0066611B"/>
    <w:rsid w:val="00671FFF"/>
    <w:rsid w:val="006A1B1C"/>
    <w:rsid w:val="006B463F"/>
    <w:rsid w:val="006B691A"/>
    <w:rsid w:val="006B7D32"/>
    <w:rsid w:val="006C4373"/>
    <w:rsid w:val="006D2CCD"/>
    <w:rsid w:val="006D359F"/>
    <w:rsid w:val="006D779F"/>
    <w:rsid w:val="006D7CA0"/>
    <w:rsid w:val="006E11C2"/>
    <w:rsid w:val="006F33AF"/>
    <w:rsid w:val="006F4119"/>
    <w:rsid w:val="00700EBF"/>
    <w:rsid w:val="00720DA7"/>
    <w:rsid w:val="00750796"/>
    <w:rsid w:val="0076289E"/>
    <w:rsid w:val="00764F08"/>
    <w:rsid w:val="007824E0"/>
    <w:rsid w:val="007962FD"/>
    <w:rsid w:val="007A2024"/>
    <w:rsid w:val="007A65E7"/>
    <w:rsid w:val="007B0761"/>
    <w:rsid w:val="007B25C5"/>
    <w:rsid w:val="007C165B"/>
    <w:rsid w:val="007D10B7"/>
    <w:rsid w:val="007E3273"/>
    <w:rsid w:val="007F1937"/>
    <w:rsid w:val="007F2833"/>
    <w:rsid w:val="007F51FA"/>
    <w:rsid w:val="00801230"/>
    <w:rsid w:val="00805E7C"/>
    <w:rsid w:val="008060A3"/>
    <w:rsid w:val="00812607"/>
    <w:rsid w:val="008306F7"/>
    <w:rsid w:val="00837C9F"/>
    <w:rsid w:val="0084233A"/>
    <w:rsid w:val="00845B77"/>
    <w:rsid w:val="008512F8"/>
    <w:rsid w:val="008534BA"/>
    <w:rsid w:val="008536C7"/>
    <w:rsid w:val="0085712C"/>
    <w:rsid w:val="00865C90"/>
    <w:rsid w:val="00876415"/>
    <w:rsid w:val="00884172"/>
    <w:rsid w:val="008875C2"/>
    <w:rsid w:val="008906C9"/>
    <w:rsid w:val="00892DD9"/>
    <w:rsid w:val="008A4C94"/>
    <w:rsid w:val="008B6E10"/>
    <w:rsid w:val="008C2477"/>
    <w:rsid w:val="008D3F58"/>
    <w:rsid w:val="008E0133"/>
    <w:rsid w:val="008E1228"/>
    <w:rsid w:val="009121F5"/>
    <w:rsid w:val="009334CB"/>
    <w:rsid w:val="00935E0E"/>
    <w:rsid w:val="009371C4"/>
    <w:rsid w:val="00940C0F"/>
    <w:rsid w:val="00950A09"/>
    <w:rsid w:val="009542B3"/>
    <w:rsid w:val="0096612C"/>
    <w:rsid w:val="009737A3"/>
    <w:rsid w:val="009739B7"/>
    <w:rsid w:val="0097744D"/>
    <w:rsid w:val="00990E03"/>
    <w:rsid w:val="00993DFB"/>
    <w:rsid w:val="0099471D"/>
    <w:rsid w:val="009A5506"/>
    <w:rsid w:val="009C2424"/>
    <w:rsid w:val="009C43BD"/>
    <w:rsid w:val="009D3A65"/>
    <w:rsid w:val="009E1161"/>
    <w:rsid w:val="009E55A9"/>
    <w:rsid w:val="00A22B5C"/>
    <w:rsid w:val="00A22C39"/>
    <w:rsid w:val="00A54CDC"/>
    <w:rsid w:val="00A626DA"/>
    <w:rsid w:val="00A634B8"/>
    <w:rsid w:val="00A70FF2"/>
    <w:rsid w:val="00A7659F"/>
    <w:rsid w:val="00A83B86"/>
    <w:rsid w:val="00A92874"/>
    <w:rsid w:val="00AA0C3E"/>
    <w:rsid w:val="00AB17AF"/>
    <w:rsid w:val="00AB20D0"/>
    <w:rsid w:val="00AB2D02"/>
    <w:rsid w:val="00AB4C65"/>
    <w:rsid w:val="00AB4C90"/>
    <w:rsid w:val="00AC189F"/>
    <w:rsid w:val="00AC4EC7"/>
    <w:rsid w:val="00AD49EE"/>
    <w:rsid w:val="00AD6427"/>
    <w:rsid w:val="00AE7FA8"/>
    <w:rsid w:val="00AF6E95"/>
    <w:rsid w:val="00B00305"/>
    <w:rsid w:val="00B131B6"/>
    <w:rsid w:val="00B26131"/>
    <w:rsid w:val="00B30569"/>
    <w:rsid w:val="00B3299F"/>
    <w:rsid w:val="00B37410"/>
    <w:rsid w:val="00B408F9"/>
    <w:rsid w:val="00B42F16"/>
    <w:rsid w:val="00B55DCE"/>
    <w:rsid w:val="00B608A5"/>
    <w:rsid w:val="00B76BE6"/>
    <w:rsid w:val="00B939E2"/>
    <w:rsid w:val="00B951BA"/>
    <w:rsid w:val="00B958E8"/>
    <w:rsid w:val="00B95AF0"/>
    <w:rsid w:val="00BA13B6"/>
    <w:rsid w:val="00BA457C"/>
    <w:rsid w:val="00BA5C5D"/>
    <w:rsid w:val="00BB0786"/>
    <w:rsid w:val="00BB1224"/>
    <w:rsid w:val="00BB3BB6"/>
    <w:rsid w:val="00BB4065"/>
    <w:rsid w:val="00BC147B"/>
    <w:rsid w:val="00BC296E"/>
    <w:rsid w:val="00BC3123"/>
    <w:rsid w:val="00BC397B"/>
    <w:rsid w:val="00BC5BB6"/>
    <w:rsid w:val="00BD0D5F"/>
    <w:rsid w:val="00BE0167"/>
    <w:rsid w:val="00BE1A79"/>
    <w:rsid w:val="00BE5E60"/>
    <w:rsid w:val="00BE68F1"/>
    <w:rsid w:val="00BF111F"/>
    <w:rsid w:val="00BF2302"/>
    <w:rsid w:val="00BF3D25"/>
    <w:rsid w:val="00C01903"/>
    <w:rsid w:val="00C01C7C"/>
    <w:rsid w:val="00C040C1"/>
    <w:rsid w:val="00C04FB2"/>
    <w:rsid w:val="00C07005"/>
    <w:rsid w:val="00C35A23"/>
    <w:rsid w:val="00C44A12"/>
    <w:rsid w:val="00C46BDD"/>
    <w:rsid w:val="00C5244F"/>
    <w:rsid w:val="00C52B7B"/>
    <w:rsid w:val="00C55ECF"/>
    <w:rsid w:val="00C60067"/>
    <w:rsid w:val="00C62A47"/>
    <w:rsid w:val="00C74855"/>
    <w:rsid w:val="00C7539E"/>
    <w:rsid w:val="00C766FC"/>
    <w:rsid w:val="00C76F48"/>
    <w:rsid w:val="00C84EEE"/>
    <w:rsid w:val="00C87F34"/>
    <w:rsid w:val="00C9269E"/>
    <w:rsid w:val="00C928AB"/>
    <w:rsid w:val="00CA0859"/>
    <w:rsid w:val="00CA1529"/>
    <w:rsid w:val="00CA1C1C"/>
    <w:rsid w:val="00CB27EC"/>
    <w:rsid w:val="00CC5008"/>
    <w:rsid w:val="00CE7C54"/>
    <w:rsid w:val="00CF4ABB"/>
    <w:rsid w:val="00D01D9C"/>
    <w:rsid w:val="00D032E1"/>
    <w:rsid w:val="00D03C43"/>
    <w:rsid w:val="00D21672"/>
    <w:rsid w:val="00D314C9"/>
    <w:rsid w:val="00D3717B"/>
    <w:rsid w:val="00D40155"/>
    <w:rsid w:val="00D46EC0"/>
    <w:rsid w:val="00D64CA5"/>
    <w:rsid w:val="00D74969"/>
    <w:rsid w:val="00D77615"/>
    <w:rsid w:val="00D861BD"/>
    <w:rsid w:val="00D92CCC"/>
    <w:rsid w:val="00D9539D"/>
    <w:rsid w:val="00DA51A4"/>
    <w:rsid w:val="00DA5332"/>
    <w:rsid w:val="00DB6E72"/>
    <w:rsid w:val="00DC495E"/>
    <w:rsid w:val="00DC558F"/>
    <w:rsid w:val="00DC7058"/>
    <w:rsid w:val="00DE1FCC"/>
    <w:rsid w:val="00DF00C2"/>
    <w:rsid w:val="00DF4B93"/>
    <w:rsid w:val="00E06FE7"/>
    <w:rsid w:val="00E1592E"/>
    <w:rsid w:val="00E36D5E"/>
    <w:rsid w:val="00E47BF6"/>
    <w:rsid w:val="00E65764"/>
    <w:rsid w:val="00E802A8"/>
    <w:rsid w:val="00E84A21"/>
    <w:rsid w:val="00E959A4"/>
    <w:rsid w:val="00E9659F"/>
    <w:rsid w:val="00EA2E8D"/>
    <w:rsid w:val="00EA3CBF"/>
    <w:rsid w:val="00EA4169"/>
    <w:rsid w:val="00EA4E1F"/>
    <w:rsid w:val="00EE4C67"/>
    <w:rsid w:val="00EE73C9"/>
    <w:rsid w:val="00EF1D35"/>
    <w:rsid w:val="00EF7937"/>
    <w:rsid w:val="00F009A5"/>
    <w:rsid w:val="00F069AA"/>
    <w:rsid w:val="00F06C33"/>
    <w:rsid w:val="00F070E2"/>
    <w:rsid w:val="00F1769F"/>
    <w:rsid w:val="00F221C0"/>
    <w:rsid w:val="00F44811"/>
    <w:rsid w:val="00F50B54"/>
    <w:rsid w:val="00F57946"/>
    <w:rsid w:val="00F57FF7"/>
    <w:rsid w:val="00F671B1"/>
    <w:rsid w:val="00F70DD9"/>
    <w:rsid w:val="00F73059"/>
    <w:rsid w:val="00F73AF6"/>
    <w:rsid w:val="00F825F7"/>
    <w:rsid w:val="00F94CD4"/>
    <w:rsid w:val="00FB1DC2"/>
    <w:rsid w:val="00FB2975"/>
    <w:rsid w:val="00FB5F3E"/>
    <w:rsid w:val="00FB7A8B"/>
    <w:rsid w:val="00FC7312"/>
    <w:rsid w:val="00FC75F5"/>
    <w:rsid w:val="00FC7D4F"/>
    <w:rsid w:val="00FD262B"/>
    <w:rsid w:val="00FD52B8"/>
    <w:rsid w:val="00FE1C52"/>
    <w:rsid w:val="00FE266D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2660"/>
  <w15:chartTrackingRefBased/>
  <w15:docId w15:val="{3D0FA982-6EE3-4F3C-9B88-0AB669E3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6DA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62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A626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626DA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626D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D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37F0"/>
  </w:style>
  <w:style w:type="paragraph" w:styleId="Pieddepage">
    <w:name w:val="footer"/>
    <w:basedOn w:val="Normal"/>
    <w:link w:val="PieddepageCar"/>
    <w:uiPriority w:val="99"/>
    <w:unhideWhenUsed/>
    <w:rsid w:val="005D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37F0"/>
  </w:style>
  <w:style w:type="character" w:styleId="Marquedecommentaire">
    <w:name w:val="annotation reference"/>
    <w:basedOn w:val="Policepardfaut"/>
    <w:uiPriority w:val="99"/>
    <w:semiHidden/>
    <w:unhideWhenUsed/>
    <w:rsid w:val="00892DD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2D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2D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DD9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664C9D"/>
    <w:pPr>
      <w:spacing w:after="0" w:line="240" w:lineRule="auto"/>
    </w:pPr>
  </w:style>
  <w:style w:type="paragraph" w:styleId="Rvision">
    <w:name w:val="Revision"/>
    <w:hidden/>
    <w:uiPriority w:val="99"/>
    <w:semiHidden/>
    <w:rsid w:val="00CF4A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BD103-23EA-41C5-A4B5-3370DBE280D6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B9B9A190-3E3B-48D1-8A47-2E81576F3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98D82D-7092-448C-980E-27DB77785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33EDAF-9B76-4211-B8F9-98EE6BDB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623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1 Panthéon Sorbonne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Morand</dc:creator>
  <cp:keywords/>
  <dc:description/>
  <cp:lastModifiedBy>Albert Elmerich</cp:lastModifiedBy>
  <cp:revision>11</cp:revision>
  <dcterms:created xsi:type="dcterms:W3CDTF">2025-09-25T10:05:00Z</dcterms:created>
  <dcterms:modified xsi:type="dcterms:W3CDTF">2025-10-20T08:36:00Z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MSIP_Label_d5c20be7-c3a5-46e3-9158-fa8a02ce2395_Enabled">
    <vt:lpwstr>true</vt:lpwstr>
  </property>
  <property fmtid="{D5CDD505-2E9C-101B-9397-08002B2CF9AE}" pid="4" name="MSIP_Label_d5c20be7-c3a5-46e3-9158-fa8a02ce2395_SetDate">
    <vt:lpwstr>2025-04-25T07:52:22Z</vt:lpwstr>
  </property>
  <property fmtid="{D5CDD505-2E9C-101B-9397-08002B2CF9AE}" pid="5" name="MSIP_Label_d5c20be7-c3a5-46e3-9158-fa8a02ce2395_Method">
    <vt:lpwstr>Standard</vt:lpwstr>
  </property>
  <property fmtid="{D5CDD505-2E9C-101B-9397-08002B2CF9AE}" pid="6" name="MSIP_Label_d5c20be7-c3a5-46e3-9158-fa8a02ce2395_Name">
    <vt:lpwstr>defa4170-0d19-0005-0004-bc88714345d2</vt:lpwstr>
  </property>
  <property fmtid="{D5CDD505-2E9C-101B-9397-08002B2CF9AE}" pid="7" name="MSIP_Label_d5c20be7-c3a5-46e3-9158-fa8a02ce2395_SiteId">
    <vt:lpwstr>8c6f9078-037e-4261-a583-52a944e55f7f</vt:lpwstr>
  </property>
  <property fmtid="{D5CDD505-2E9C-101B-9397-08002B2CF9AE}" pid="8" name="MSIP_Label_d5c20be7-c3a5-46e3-9158-fa8a02ce2395_ActionId">
    <vt:lpwstr>e3b37990-ba3b-4b8d-9670-6f0d987e92d2</vt:lpwstr>
  </property>
  <property fmtid="{D5CDD505-2E9C-101B-9397-08002B2CF9AE}" pid="9" name="MSIP_Label_d5c20be7-c3a5-46e3-9158-fa8a02ce2395_ContentBits">
    <vt:lpwstr>0</vt:lpwstr>
  </property>
  <property fmtid="{D5CDD505-2E9C-101B-9397-08002B2CF9AE}" pid="10" name="MediaServiceImageTags">
    <vt:lpwstr/>
  </property>
</Properties>
</file>